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Taller para personal sanitario con beca completa a través del Fondo de Cooperación y Desarrollo Internacional (Taiwán ICDF) y la Embajada de la República de China (Taiwán)</w:t>
      </w:r>
    </w:p>
    <w:p w:rsidR="00000000" w:rsidDel="00000000" w:rsidP="00000000" w:rsidRDefault="00000000" w:rsidRPr="00000000" w14:paraId="00000002">
      <w:pPr>
        <w:spacing w:after="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El taller se centra en la formación sobre el control de infecciones en instalaciones sanitarias con el objetivo de mejorar las habilidades de los trabajadores sanitarios en la prevención, gestión y aplicación práctica de enfermedades transmisibles e infecciones asociadas a la atención sanitaria y potenciar sus capacidades de respuesta.</w:t>
      </w:r>
    </w:p>
    <w:p w:rsidR="00000000" w:rsidDel="00000000" w:rsidP="00000000" w:rsidRDefault="00000000" w:rsidRPr="00000000" w14:paraId="00000004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Requisitos excluyentes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tl w:val="0"/>
        </w:rPr>
        <w:t xml:space="preserve">Nacionalidad paraguaya.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tl w:val="0"/>
        </w:rPr>
        <w:t xml:space="preserve">Contar con la mayoría 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tl w:val="0"/>
        </w:rPr>
        <w:t xml:space="preserve"> edad.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Profesional en Enfermería u Obstetricia.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Profesionales actualmente con vínculo en </w:t>
      </w:r>
      <w:r w:rsidDel="00000000" w:rsidR="00000000" w:rsidRPr="00000000">
        <w:rPr>
          <w:rtl w:val="0"/>
        </w:rPr>
        <w:t xml:space="preserve">servicios asistenciales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Docente de la FENOB-UNA</w:t>
      </w:r>
      <w:r w:rsidDel="00000000" w:rsidR="00000000" w:rsidRPr="00000000">
        <w:rPr>
          <w:rtl w:val="0"/>
        </w:rPr>
        <w:t xml:space="preserve">, egresado de la casa de estudios.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tl w:val="0"/>
        </w:rPr>
        <w:t xml:space="preserve">Antigüedad en la FENOB UNA de al menos 5 años.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Experiencia profesional comprobada en el área de salud pública.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Disponibilidad para viajar a Taiwán del 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al 31 de octubre del 2024.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Plazas disponibles:</w:t>
      </w:r>
      <w:r w:rsidDel="00000000" w:rsidR="00000000" w:rsidRPr="00000000">
        <w:rPr>
          <w:rtl w:val="0"/>
        </w:rPr>
        <w:t xml:space="preserve"> 4 (cuatro) para la FENOB-UNA (Sede central y filiales). 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Plazo de presentación:</w:t>
      </w:r>
      <w:r w:rsidDel="00000000" w:rsidR="00000000" w:rsidRPr="00000000">
        <w:rPr>
          <w:rtl w:val="0"/>
        </w:rPr>
        <w:t xml:space="preserve"> Del 13 al 17 de junio (hasta las 10:00 h), en la </w:t>
      </w:r>
      <w:r w:rsidDel="00000000" w:rsidR="00000000" w:rsidRPr="00000000">
        <w:rPr>
          <w:color w:val="000000"/>
          <w:rtl w:val="0"/>
        </w:rPr>
        <w:t xml:space="preserve">Coordinación de Movilidad Académica, con el Mg. Anyelo David Romero Vallejos. 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Horario de atención: Lunes, martes y miércoles de 07:30 a 13:00 h, y jueves de 07:30 a 10:00 h.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Más información: </w:t>
      </w:r>
      <w:hyperlink r:id="rId7">
        <w:r w:rsidDel="00000000" w:rsidR="00000000" w:rsidRPr="00000000">
          <w:rPr>
            <w:color w:val="467886"/>
            <w:u w:val="single"/>
            <w:rtl w:val="0"/>
          </w:rPr>
          <w:t xml:space="preserve">movilidad@fenob.una.py</w:t>
        </w:r>
      </w:hyperlink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Presentar la solicitud de postulación en la Coordinación de Movilidad Académica de la FENOB-UNA adjuntando los siguientes documentos: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 (f</w:t>
      </w:r>
      <w:r w:rsidDel="00000000" w:rsidR="00000000" w:rsidRPr="00000000">
        <w:rPr>
          <w:rtl w:val="0"/>
        </w:rPr>
        <w:t xml:space="preserve">ormato disponible en la web)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con una foto tipo carnet.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 simple de Cédula de Identidad Civil vigente.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 simple de Registro Profesional vigente.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 simple de Título de Grado </w:t>
      </w:r>
      <w:r w:rsidDel="00000000" w:rsidR="00000000" w:rsidRPr="00000000">
        <w:rPr>
          <w:rtl w:val="0"/>
        </w:rPr>
        <w:t xml:space="preserve">y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Postgrado.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 simple </w:t>
      </w:r>
      <w:r w:rsidDel="00000000" w:rsidR="00000000" w:rsidRPr="00000000">
        <w:rPr>
          <w:rtl w:val="0"/>
        </w:rPr>
        <w:t xml:space="preserve">del Certificado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Estudios de Grado obtenido.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 simple de Certificado/Constancia de Capacitación Pedagógica en Educación Superior.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Certificado original de antecedente judicial vigente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Certificado original de antecedente policial vigente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Llenar la solicitud de postulación, la cual estará disponible en la página de la FENOB-UNA. FORMULARIO 1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Llenar la carta de compromiso. FORMULARIO 2</w:t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Estructura del curso</w:t>
      </w:r>
    </w:p>
    <w:p w:rsidR="00000000" w:rsidDel="00000000" w:rsidP="00000000" w:rsidRDefault="00000000" w:rsidRPr="00000000" w14:paraId="00000021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• </w:t>
      </w:r>
      <w:r w:rsidDel="00000000" w:rsidR="00000000" w:rsidRPr="00000000">
        <w:rPr>
          <w:b w:val="1"/>
          <w:rtl w:val="0"/>
        </w:rPr>
        <w:t xml:space="preserve">Fase en línea:</w:t>
      </w:r>
      <w:r w:rsidDel="00000000" w:rsidR="00000000" w:rsidRPr="00000000">
        <w:rPr>
          <w:rtl w:val="0"/>
        </w:rPr>
        <w:t xml:space="preserve"> Introducción a las enfermedades infecciosas y control de infecciones en instalaciones de cuidado a largo plazo (10 horas) Del 11 al 25 de julio (horario de Taiwán). </w:t>
      </w:r>
    </w:p>
    <w:p w:rsidR="00000000" w:rsidDel="00000000" w:rsidP="00000000" w:rsidRDefault="00000000" w:rsidRPr="00000000" w14:paraId="00000022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• </w:t>
      </w:r>
      <w:r w:rsidDel="00000000" w:rsidR="00000000" w:rsidRPr="00000000">
        <w:rPr>
          <w:b w:val="1"/>
          <w:rtl w:val="0"/>
        </w:rPr>
        <w:t xml:space="preserve">Fase presencial:</w:t>
      </w:r>
      <w:r w:rsidDel="00000000" w:rsidR="00000000" w:rsidRPr="00000000">
        <w:rPr>
          <w:rtl w:val="0"/>
        </w:rPr>
        <w:t xml:space="preserve"> Formación práctica en control de infecciones y atención clínica, que incluye (155 horas):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Prevención, monitoreo, reporte y gestión de enfermedades infecciosas y brotes.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Planificación y ejercicios prácticos en instalaciones de higiene de manos.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Gestión de la nutrición y control de infecciones gastrointestinales.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Procedimientos de cuidado y técnicas asépticas.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Gestión de materiales médicos y prácticas de limpieza ambiental en instalaciones de cuidado.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Visitas a instituciones de día para experiencia práctica.</w:t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Observaciones: </w:t>
      </w:r>
    </w:p>
    <w:p w:rsidR="00000000" w:rsidDel="00000000" w:rsidP="00000000" w:rsidRDefault="00000000" w:rsidRPr="00000000" w14:paraId="0000002B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Se clasifica para la fase presencial una vez </w:t>
      </w:r>
      <w:r w:rsidDel="00000000" w:rsidR="00000000" w:rsidRPr="00000000">
        <w:rPr>
          <w:b w:val="1"/>
          <w:rtl w:val="0"/>
        </w:rPr>
        <w:t xml:space="preserve">aprobada</w:t>
      </w:r>
      <w:r w:rsidDel="00000000" w:rsidR="00000000" w:rsidRPr="00000000">
        <w:rPr>
          <w:rtl w:val="0"/>
        </w:rPr>
        <w:t xml:space="preserve"> la fase en línea. La segunda fase presencial se realizará en </w:t>
      </w:r>
      <w:r w:rsidDel="00000000" w:rsidR="00000000" w:rsidRPr="00000000">
        <w:rPr>
          <w:b w:val="1"/>
          <w:rtl w:val="0"/>
        </w:rPr>
        <w:t xml:space="preserve">Taipéi (Taiwán) del 2 al 31 de octubre del 2024</w:t>
      </w:r>
      <w:r w:rsidDel="00000000" w:rsidR="00000000" w:rsidRPr="00000000">
        <w:rPr>
          <w:rtl w:val="0"/>
        </w:rPr>
        <w:t xml:space="preserve">, y para lo cual tendrán cubiertos los pasajes de ida y vuelta, alimentación, hospedaje y transporte durante su estadía en Taiwán.</w:t>
      </w:r>
    </w:p>
    <w:sectPr>
      <w:headerReference r:id="rId8" w:type="default"/>
      <w:pgSz w:h="15840" w:w="12240" w:orient="portrait"/>
      <w:pgMar w:bottom="1417" w:top="1417" w:left="1701" w:right="616" w:header="56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533400</wp:posOffset>
              </wp:positionV>
              <wp:extent cx="6412865" cy="27940"/>
              <wp:effectExtent b="0" l="0" r="0" t="0"/>
              <wp:wrapNone/>
              <wp:docPr id="1609921237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145918" y="3772380"/>
                        <a:ext cx="6400165" cy="1524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533400</wp:posOffset>
              </wp:positionV>
              <wp:extent cx="6412865" cy="27940"/>
              <wp:effectExtent b="0" l="0" r="0" t="0"/>
              <wp:wrapNone/>
              <wp:docPr id="1609921237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12865" cy="27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566420</wp:posOffset>
              </wp:positionV>
              <wp:extent cx="6413500" cy="374015"/>
              <wp:effectExtent b="0" l="0" r="0" t="0"/>
              <wp:wrapSquare wrapText="bothSides" distB="45720" distT="45720" distL="114300" distR="114300"/>
              <wp:docPr id="1609921238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144013" y="3597755"/>
                        <a:ext cx="6403975" cy="364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12"/>
                              <w:highlight w:val="white"/>
                              <w:vertAlign w:val="baseline"/>
                            </w:rPr>
                            <w:t xml:space="preserve">Visión: La Facultad de Enfermería y Obstetricia (FENOB - UNA), se consolida como líder en la educación superior con excelencia educativa, humana, ética e inclusiva acorde con las necesidades y demanda de la sociedad impulsando el desarrollo sostenible, vinculada con instituciones nacionales e internacionales.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566420</wp:posOffset>
              </wp:positionV>
              <wp:extent cx="6413500" cy="374015"/>
              <wp:effectExtent b="0" l="0" r="0" t="0"/>
              <wp:wrapSquare wrapText="bothSides" distB="45720" distT="45720" distL="114300" distR="114300"/>
              <wp:docPr id="160992123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13500" cy="3740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723900</wp:posOffset>
              </wp:positionH>
              <wp:positionV relativeFrom="paragraph">
                <wp:posOffset>279400</wp:posOffset>
              </wp:positionV>
              <wp:extent cx="4138930" cy="265430"/>
              <wp:effectExtent b="0" l="0" r="0" t="0"/>
              <wp:wrapNone/>
              <wp:docPr id="1609921240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3281298" y="3652048"/>
                        <a:ext cx="4129405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MOVILIDAD ACADÉMICA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723900</wp:posOffset>
              </wp:positionH>
              <wp:positionV relativeFrom="paragraph">
                <wp:posOffset>279400</wp:posOffset>
              </wp:positionV>
              <wp:extent cx="4138930" cy="265430"/>
              <wp:effectExtent b="0" l="0" r="0" t="0"/>
              <wp:wrapNone/>
              <wp:docPr id="160992124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38930" cy="2654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-114299</wp:posOffset>
              </wp:positionV>
              <wp:extent cx="2855168" cy="604659"/>
              <wp:effectExtent b="0" l="0" r="0" t="0"/>
              <wp:wrapNone/>
              <wp:docPr id="160992123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918400" y="3477650"/>
                        <a:ext cx="2855168" cy="604659"/>
                        <a:chOff x="3918400" y="3477650"/>
                        <a:chExt cx="2855200" cy="604700"/>
                      </a:xfrm>
                    </wpg:grpSpPr>
                    <wpg:grpSp>
                      <wpg:cNvGrpSpPr/>
                      <wpg:grpSpPr>
                        <a:xfrm>
                          <a:off x="3918416" y="3477671"/>
                          <a:ext cx="2855168" cy="604659"/>
                          <a:chOff x="0" y="0"/>
                          <a:chExt cx="3073711" cy="650875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0" y="0"/>
                            <a:ext cx="3073700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descr="Forma&#10;&#10;Descripción generada automáticamente con confianza media" id="6" name="Shape 6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 b="0" l="0" r="74742" t="0"/>
                          <a:stretch/>
                        </pic:blipFill>
                        <pic:spPr>
                          <a:xfrm>
                            <a:off x="0" y="0"/>
                            <a:ext cx="741680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descr="Forma&#10;&#10;Descripción generada automáticamente con confianza media" id="7" name="Shape 7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 b="19637" l="26550" r="-3686" t="18112"/>
                          <a:stretch/>
                        </pic:blipFill>
                        <pic:spPr>
                          <a:xfrm>
                            <a:off x="807396" y="68093"/>
                            <a:ext cx="2266315" cy="40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-114299</wp:posOffset>
              </wp:positionV>
              <wp:extent cx="2855168" cy="604659"/>
              <wp:effectExtent b="0" l="0" r="0" t="0"/>
              <wp:wrapNone/>
              <wp:docPr id="160992123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55168" cy="60465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Aptos" w:cs="Aptos" w:eastAsia="Aptos" w:hAnsi="Apto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PY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463951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463951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463951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463951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463951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463951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463951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463951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463951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463951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463951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463951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463951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463951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463951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463951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463951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463951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463951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46395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463951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463951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463951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463951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463951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463951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46395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463951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463951"/>
    <w:rPr>
      <w:b w:val="1"/>
      <w:bCs w:val="1"/>
      <w:smallCaps w:val="1"/>
      <w:color w:val="0f4761" w:themeColor="accent1" w:themeShade="0000BF"/>
      <w:spacing w:val="5"/>
    </w:rPr>
  </w:style>
  <w:style w:type="character" w:styleId="oypena" w:customStyle="1">
    <w:name w:val="oypena"/>
    <w:basedOn w:val="Fuentedeprrafopredeter"/>
    <w:rsid w:val="00E12215"/>
  </w:style>
  <w:style w:type="character" w:styleId="Hipervnculo">
    <w:name w:val="Hyperlink"/>
    <w:basedOn w:val="Fuentedeprrafopredeter"/>
    <w:uiPriority w:val="99"/>
    <w:unhideWhenUsed w:val="1"/>
    <w:rsid w:val="00D74B3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D74B36"/>
    <w:rPr>
      <w:color w:val="605e5c"/>
      <w:shd w:color="auto" w:fill="e1dfdd" w:val="clear"/>
    </w:rPr>
  </w:style>
  <w:style w:type="paragraph" w:styleId="Encabezado">
    <w:name w:val="header"/>
    <w:basedOn w:val="Normal"/>
    <w:link w:val="EncabezadoCar"/>
    <w:uiPriority w:val="99"/>
    <w:unhideWhenUsed w:val="1"/>
    <w:rsid w:val="002743D9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743D9"/>
  </w:style>
  <w:style w:type="paragraph" w:styleId="Piedepgina">
    <w:name w:val="footer"/>
    <w:basedOn w:val="Normal"/>
    <w:link w:val="PiedepginaCar"/>
    <w:uiPriority w:val="99"/>
    <w:unhideWhenUsed w:val="1"/>
    <w:rsid w:val="002743D9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743D9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ovilidad@fenob.una.py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4.png"/><Relationship Id="rId4" Type="http://schemas.openxmlformats.org/officeDocument/2006/relationships/image" Target="media/image6.png"/><Relationship Id="rId5" Type="http://schemas.openxmlformats.org/officeDocument/2006/relationships/image" Target="media/image5.png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Ws425N24f0lBtNQc5fmb3EXWzQ==">CgMxLjA4AHIhMVZxWm56ZmVweThNSDNxWXZOd3FiWElnRnYwR1dLcVUw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2024-06-06T16:23:00Z</dcterms:created>
  <dc:creator>Cecilia Dinaliz González Cabrera</dc:creator>
</cp:coreProperties>
</file>